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/>
      </w:pPr>
      <w:r>
        <w:rPr/>
        <w:t>Resumen Financiero 2025 Marmas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rPr/>
          </w:pPr>
          <w:r>
            <w:br w:type="page"/>
          </w:r>
          <w:r>
            <w:rPr/>
            <w:t>Table of Contents</w:t>
          </w:r>
        </w:p>
        <w:p>
          <w:pPr>
            <w:pStyle w:val="Contents1"/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595_1753140917">
            <w:r>
              <w:rPr>
                <w:rStyle w:val="IndexLink"/>
              </w:rPr>
              <w:t>Balance</w:t>
              <w:tab/>
              <w:t>3</w:t>
            </w:r>
          </w:hyperlink>
        </w:p>
        <w:p>
          <w:pPr>
            <w:pStyle w:val="Contents1"/>
            <w:rPr/>
          </w:pPr>
          <w:hyperlink w:anchor="__RefHeading___Toc394_50209248">
            <w:r>
              <w:rPr>
                <w:rStyle w:val="IndexLink"/>
              </w:rPr>
              <w:t>Ingresos y gastos</w:t>
              <w:tab/>
              <w:t>4</w:t>
            </w:r>
          </w:hyperlink>
        </w:p>
        <w:p>
          <w:pPr>
            <w:pStyle w:val="Contents1"/>
            <w:rPr/>
          </w:pPr>
          <w:hyperlink w:anchor="__RefHeading___Toc396_50209248">
            <w:r>
              <w:rPr>
                <w:rStyle w:val="IndexLink"/>
              </w:rPr>
              <w:t>Estado préstamos</w:t>
              <w:tab/>
              <w:t>5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TextBody"/>
        <w:rPr/>
      </w:pPr>
      <w:r>
        <w:rPr/>
      </w:r>
      <w:r>
        <w:br w:type="page"/>
      </w:r>
    </w:p>
    <w:p>
      <w:pPr>
        <w:pStyle w:val="Heading1"/>
        <w:rPr/>
      </w:pPr>
      <w:bookmarkStart w:id="0" w:name="__RefHeading___Toc595_1753140917"/>
      <w:bookmarkEnd w:id="0"/>
      <w:r>
        <w:rPr/>
        <w:t>Balance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Balance a cierre de año y a principio para comparar. Incluye estimaciones para lo que queda de año:</w:t>
      </w:r>
    </w:p>
    <w:p>
      <w:pPr>
        <w:pStyle w:val="TextBody"/>
        <w:rPr/>
      </w:pPr>
      <w:r>
        <w:rPr/>
      </w:r>
    </w:p>
    <w:tbl>
      <w:tblPr>
        <w:tblW w:w="8485" w:type="dxa"/>
        <w:jc w:val="left"/>
        <w:tblInd w:w="-6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962"/>
        <w:gridCol w:w="2640"/>
        <w:gridCol w:w="1442"/>
        <w:gridCol w:w="1441"/>
      </w:tblGrid>
      <w:tr>
        <w:trPr>
          <w:trHeight w:val="300" w:hRule="atLeast"/>
        </w:trPr>
        <w:tc>
          <w:tcPr>
            <w:tcW w:w="2962" w:type="dxa"/>
            <w:tcBorders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Categoria</w:t>
            </w:r>
          </w:p>
        </w:tc>
        <w:tc>
          <w:tcPr>
            <w:tcW w:w="2640" w:type="dxa"/>
            <w:tcBorders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Cuenta</w:t>
            </w:r>
          </w:p>
        </w:tc>
        <w:tc>
          <w:tcPr>
            <w:tcW w:w="1442" w:type="dxa"/>
            <w:tcBorders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25-12-31</w:t>
            </w:r>
          </w:p>
        </w:tc>
        <w:tc>
          <w:tcPr>
            <w:tcW w:w="1441" w:type="dxa"/>
            <w:tcBorders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24-12-31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ACTIVOS</w:t>
            </w:r>
          </w:p>
        </w:tc>
        <w:tc>
          <w:tcPr>
            <w:tcW w:w="264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Efectivo en banco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36,000 €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13,000 €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Bitcoin B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285,000 €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305,000 €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Bitcoin A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40,000 €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Inversiones tradicionales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129,000 €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125,000 €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Otros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16,000 €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17,000 €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Activos Eli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33,000 €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42,000 €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TOTAL ACTIVOS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539,000 €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502,000 €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PASIVOS</w:t>
            </w:r>
          </w:p>
        </w:tc>
        <w:tc>
          <w:tcPr>
            <w:tcW w:w="264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Bankinter 1 (saylor 1)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24,000 €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27,000 €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Bankinter 2 (saylor 2)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19,000 €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Pignorado Myinvestor (saylor 3)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27,000 €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Moto Kawi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7,500 €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8,500 €</w:t>
            </w:r>
          </w:p>
        </w:tc>
      </w:tr>
      <w:tr>
        <w:trPr>
          <w:trHeight w:val="276" w:hRule="atLeast"/>
        </w:trPr>
        <w:tc>
          <w:tcPr>
            <w:tcW w:w="296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TOTAL PASIVOS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77,500 €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35,500 €</w:t>
            </w:r>
          </w:p>
        </w:tc>
      </w:tr>
      <w:tr>
        <w:trPr>
          <w:trHeight w:val="276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PATRIMONITO NETO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461,500 €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466,500 €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rPr/>
      </w:pPr>
      <w:bookmarkStart w:id="1" w:name="__RefHeading___Toc394_50209248"/>
      <w:bookmarkEnd w:id="1"/>
      <w:r>
        <w:rPr/>
        <w:t>Ingresos y gastos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Ingresos y gastos del año. Incluye estimaciones para lo que queda de año:</w:t>
      </w:r>
    </w:p>
    <w:p>
      <w:pPr>
        <w:pStyle w:val="TextBody"/>
        <w:rPr/>
      </w:pPr>
      <w:r>
        <w:rPr/>
      </w:r>
    </w:p>
    <w:tbl>
      <w:tblPr>
        <w:tblW w:w="8315" w:type="dxa"/>
        <w:jc w:val="left"/>
        <w:tblInd w:w="-6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962"/>
        <w:gridCol w:w="2471"/>
        <w:gridCol w:w="1441"/>
        <w:gridCol w:w="1441"/>
      </w:tblGrid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INGRESOS</w:t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 xml:space="preserve">Trabajo </w:t>
            </w:r>
            <w:r>
              <w:rPr/>
              <w:t>Pablo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Galoy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32,500 €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Superhog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17,300 €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Baja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11,300 €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 xml:space="preserve">Total Trabajo </w:t>
            </w:r>
            <w:r>
              <w:rPr/>
              <w:t>Pablo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61,100 €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Otros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6,300 €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Eli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10,000 €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TOTAL INGRESOS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77,400 €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GASTOS</w:t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Pablo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29,600 €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Eli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18,000 €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TOTAL GASTOS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47,600 €</w:t>
            </w:r>
          </w:p>
        </w:tc>
      </w:tr>
      <w:tr>
        <w:trPr>
          <w:trHeight w:val="648" w:hRule="atLeast"/>
        </w:trPr>
        <w:tc>
          <w:tcPr>
            <w:tcW w:w="296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AHORRO</w:t>
            </w:r>
          </w:p>
        </w:tc>
        <w:tc>
          <w:tcPr>
            <w:tcW w:w="247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29,800 €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rPr/>
      </w:pPr>
      <w:bookmarkStart w:id="2" w:name="__RefHeading___Toc396_50209248"/>
      <w:bookmarkEnd w:id="2"/>
      <w:r>
        <w:rPr/>
        <w:t>Estado préstamos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Tenemos en marcha tres préstamos para invertir: Saylor 1, 2 y 3.</w:t>
      </w:r>
    </w:p>
    <w:tbl>
      <w:tblPr>
        <w:tblW w:w="10756" w:type="dxa"/>
        <w:jc w:val="left"/>
        <w:tblInd w:w="-6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039"/>
        <w:gridCol w:w="1930"/>
        <w:gridCol w:w="1928"/>
        <w:gridCol w:w="1930"/>
        <w:gridCol w:w="1929"/>
      </w:tblGrid>
      <w:tr>
        <w:trPr>
          <w:trHeight w:val="276" w:hRule="atLeast"/>
        </w:trPr>
        <w:tc>
          <w:tcPr>
            <w:tcW w:w="30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193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Saylor 1</w:t>
            </w:r>
          </w:p>
        </w:tc>
        <w:tc>
          <w:tcPr>
            <w:tcW w:w="192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Saylor 2</w:t>
            </w:r>
          </w:p>
        </w:tc>
        <w:tc>
          <w:tcPr>
            <w:tcW w:w="193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Saylor 3</w:t>
            </w:r>
          </w:p>
        </w:tc>
        <w:tc>
          <w:tcPr>
            <w:tcW w:w="192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Total</w:t>
            </w:r>
          </w:p>
        </w:tc>
      </w:tr>
      <w:tr>
        <w:trPr>
          <w:trHeight w:val="1440" w:hRule="atLeast"/>
        </w:trPr>
        <w:tc>
          <w:tcPr>
            <w:tcW w:w="30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Capital inicial préstamo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33,000.00 €</w:t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20,000.00 €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28,000.00 €</w:t>
            </w:r>
          </w:p>
        </w:tc>
        <w:tc>
          <w:tcPr>
            <w:tcW w:w="192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81,000.00 €</w:t>
            </w:r>
          </w:p>
        </w:tc>
      </w:tr>
      <w:tr>
        <w:trPr>
          <w:trHeight w:val="1440" w:hRule="atLeast"/>
        </w:trPr>
        <w:tc>
          <w:tcPr>
            <w:tcW w:w="30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Capital pendiente de amortizar a cierre de 2025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23,900.00 €</w:t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18,500.00 €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27,250.00 €</w:t>
            </w:r>
          </w:p>
        </w:tc>
        <w:tc>
          <w:tcPr>
            <w:tcW w:w="192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69,650.00 €</w:t>
            </w:r>
          </w:p>
        </w:tc>
      </w:tr>
      <w:tr>
        <w:trPr>
          <w:trHeight w:val="1440" w:hRule="atLeast"/>
        </w:trPr>
        <w:tc>
          <w:tcPr>
            <w:tcW w:w="30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Intereses pagados acumulados a cierre de 2025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5,650.00 €</w:t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1,200.00 €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500.00 €</w:t>
            </w:r>
          </w:p>
        </w:tc>
        <w:tc>
          <w:tcPr>
            <w:tcW w:w="192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7,350.00 €</w:t>
            </w:r>
          </w:p>
        </w:tc>
      </w:tr>
      <w:tr>
        <w:trPr>
          <w:trHeight w:val="1440" w:hRule="atLeast"/>
        </w:trPr>
        <w:tc>
          <w:tcPr>
            <w:tcW w:w="30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Valor actual de los activos comprados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108,000.00 €</w:t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11,600.00 €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27,625.00 €</w:t>
            </w:r>
          </w:p>
        </w:tc>
        <w:tc>
          <w:tcPr>
            <w:tcW w:w="192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147,225.00 €</w:t>
            </w:r>
          </w:p>
        </w:tc>
      </w:tr>
      <w:tr>
        <w:trPr>
          <w:trHeight w:val="1440" w:hRule="atLeast"/>
        </w:trPr>
        <w:tc>
          <w:tcPr>
            <w:tcW w:w="30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Valor de salida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84,100.00 €</w:t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-6,900.00 €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375.00 €</w:t>
            </w:r>
          </w:p>
        </w:tc>
        <w:tc>
          <w:tcPr>
            <w:tcW w:w="192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77,575.00 €</w:t>
            </w:r>
          </w:p>
        </w:tc>
      </w:tr>
      <w:tr>
        <w:trPr>
          <w:trHeight w:val="1440" w:hRule="atLeast"/>
        </w:trPr>
        <w:tc>
          <w:tcPr>
            <w:tcW w:w="30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Retorno hasta la fecha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237.73%</w:t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-40.50%</w:t>
            </w:r>
          </w:p>
        </w:tc>
        <w:tc>
          <w:tcPr>
            <w:tcW w:w="1930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  <w:t>-0.45%</w:t>
            </w:r>
          </w:p>
        </w:tc>
        <w:tc>
          <w:tcPr>
            <w:tcW w:w="192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jc w:val="righ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Internet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C Heading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1">
    <w:name w:val="TOC 1"/>
    <w:basedOn w:val="Index"/>
    <w:pPr>
      <w:tabs>
        <w:tab w:val="clear" w:pos="709"/>
        <w:tab w:val="right" w:pos="9972" w:leader="dot"/>
      </w:tabs>
      <w:ind w:left="0" w:right="0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nts2">
    <w:name w:val="TOC 2"/>
    <w:basedOn w:val="Index"/>
    <w:pPr>
      <w:tabs>
        <w:tab w:val="clear" w:pos="709"/>
        <w:tab w:val="right" w:pos="9689" w:leader="dot"/>
      </w:tabs>
      <w:ind w:left="283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LibreOffice/7.4.7.2$Linux_X86_64 LibreOffice_project/40$Build-2</Application>
  <AppVersion>15.0000</AppVersion>
  <Pages>5</Pages>
  <Words>277</Words>
  <Characters>1302</Characters>
  <CharactersWithSpaces>1465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2025-11-23T17:44:58Z</dcterms:created>
  <dc:creator/>
  <dc:description/>
  <dc:language>en-US</dc:language>
  <cp:lastModifiedBy/>
  <dcterms:modified xsi:type="dcterms:W3CDTF">2025-11-24T10:45:53Z</dcterms:modified>
  <cp:revision>5</cp:revision>
  <dc:subject/>
  <dc:title/>
</cp:coreProperties>
</file>